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8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>
      <w:pPr>
        <w:spacing w:after="0"/>
        <w:ind w:firstLine="3686"/>
        <w:jc w:val="center"/>
        <w:rPr>
          <w:rFonts w:ascii="Times New Roman" w:hAnsi="Times New Roman"/>
          <w:color w:val="545454"/>
          <w:sz w:val="32"/>
          <w:szCs w:val="32"/>
          <w:lang w:eastAsia="ru-RU"/>
        </w:rPr>
      </w:pPr>
      <w:r>
        <w:rPr>
          <w:rFonts w:ascii="Times New Roman" w:hAnsi="Times New Roman"/>
          <w:color w:val="545454"/>
          <w:sz w:val="32"/>
          <w:szCs w:val="32"/>
          <w:lang w:eastAsia="ru-RU"/>
        </w:rPr>
        <w:t>Утверждено</w:t>
      </w:r>
    </w:p>
    <w:p>
      <w:pPr>
        <w:spacing w:after="0"/>
        <w:ind w:firstLine="3686"/>
        <w:jc w:val="center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Решением Правления </w:t>
      </w:r>
    </w:p>
    <w:p>
      <w:pPr>
        <w:spacing w:after="0"/>
        <w:ind w:firstLine="3686"/>
        <w:jc w:val="center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>Нотариальной палаты Республики Дагестан</w:t>
      </w:r>
    </w:p>
    <w:p>
      <w:pPr>
        <w:spacing w:after="0"/>
        <w:ind w:firstLine="3686"/>
        <w:jc w:val="left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        23 ноября 2017г. протокол № 10/17</w:t>
      </w:r>
    </w:p>
    <w:p>
      <w:pPr>
        <w:spacing w:after="0"/>
        <w:ind w:firstLine="708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45454"/>
          <w:sz w:val="28"/>
          <w:szCs w:val="28"/>
          <w:lang w:eastAsia="ru-RU"/>
        </w:rPr>
        <w:t>ПОЛОЖЕНИЕ</w:t>
      </w:r>
    </w:p>
    <w:p>
      <w:pPr>
        <w:spacing w:after="0"/>
        <w:ind w:firstLine="708"/>
        <w:jc w:val="center"/>
        <w:rPr>
          <w:rFonts w:ascii="Times New Roman" w:hAnsi="Times New Roman"/>
          <w:b/>
          <w:color w:val="545454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545454"/>
          <w:sz w:val="32"/>
          <w:szCs w:val="32"/>
          <w:lang w:eastAsia="ru-RU"/>
        </w:rPr>
        <w:t xml:space="preserve">о Комиссии по повышению квалификации </w:t>
      </w:r>
    </w:p>
    <w:p>
      <w:pPr>
        <w:spacing w:after="0"/>
        <w:ind w:firstLine="708"/>
        <w:jc w:val="center"/>
        <w:rPr>
          <w:rFonts w:ascii="Times New Roman" w:hAnsi="Times New Roman"/>
          <w:b/>
          <w:color w:val="545454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545454"/>
          <w:sz w:val="32"/>
          <w:szCs w:val="32"/>
          <w:lang w:eastAsia="ru-RU"/>
        </w:rPr>
        <w:t>Нотариальной палаты Республики Дагестан</w:t>
      </w:r>
    </w:p>
    <w:p>
      <w:pPr>
        <w:spacing w:after="0"/>
        <w:ind w:firstLine="708"/>
        <w:jc w:val="center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45454"/>
          <w:sz w:val="28"/>
          <w:szCs w:val="28"/>
          <w:lang w:eastAsia="ru-RU"/>
        </w:rPr>
        <w:t>1. Общие положения</w:t>
      </w:r>
    </w:p>
    <w:p>
      <w:pPr>
        <w:spacing w:after="0"/>
        <w:ind w:firstLine="708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>
      <w:pPr>
        <w:spacing w:after="0"/>
        <w:ind w:firstLine="708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>1.1. Комиссия по повышению квалификации (далее - Комиссия) образуется Правлением</w:t>
      </w:r>
      <w:r>
        <w:rPr>
          <w:rFonts w:ascii="Times New Roman" w:hAnsi="Times New Roman"/>
          <w:color w:val="54545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Нотариальной палаты</w:t>
      </w:r>
      <w:r>
        <w:rPr>
          <w:rFonts w:ascii="Times New Roman" w:hAnsi="Times New Roman"/>
          <w:color w:val="545454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Республики Дагестан в соответствии с главой </w:t>
      </w:r>
      <w:r>
        <w:rPr>
          <w:rFonts w:ascii="Times New Roman" w:hAnsi="Times New Roman"/>
          <w:color w:val="545454"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Устава НПРД для реализации функций, возложенных на Палату статьей 25 Основ законодательства Российской Федерации о нотариате по повышению профессиональной подготовки нотариусов и организации стажировки лиц, претендующих на должность нотариуса, а также в целях разработки предложений по совершенствованию законодательства, научно-методических рекомендаций по отдельным вопросам нотариального законодательства, практического применения действующего законодательства.</w:t>
      </w:r>
    </w:p>
    <w:p>
      <w:pPr>
        <w:spacing w:after="0"/>
        <w:ind w:firstLine="708"/>
        <w:jc w:val="both"/>
        <w:rPr>
          <w:rFonts w:ascii="Times New Roman" w:hAnsi="Times New Roman"/>
          <w:color w:val="474747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>1.2. В своей деятельности Комиссия руководствуется Основами законодательства Российской Федерации о нотариате, законодательными и иными правовыми актами  Российской Федерации и Республики Дагестан, Уставом Нотариальной палаты Республики Дагестан, Кодексом профессиональной этики нотариусов в Российской Федерации, решениями Общего собрания членов Палаты, Правления Палаты, Президента Палаты  и настоящим Положением.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1.3. Комиссия является постоянно действующим органом Правления Палаты, подконтрольна Правлению Палаты и отчитывается перед ним о результатах своей деятельности не реже одного раза в год.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Деятельность Комиссии основывается на принципах законности, гласности, коллегиальности, открытости, плановости.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1.4. Комиссия создается сроком на 1(один) год из числа членов Палаты.</w:t>
      </w:r>
    </w:p>
    <w:p>
      <w:pPr>
        <w:spacing w:after="0"/>
        <w:jc w:val="both"/>
        <w:rPr>
          <w:rFonts w:ascii="Times New Roman" w:hAnsi="Times New Roman"/>
          <w:color w:val="545454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1.5. Члены Комиссии осуществляют свою деятельность на общественных началах. Затраты членов Комиссии, связанные с выполнением ими своих обязанностей, подлежат компенсации в соответствии с решениями Правления Палаты.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1.6. Материально-техническое обеспечение работы Комиссии осуществляется  за счет средств Палаты в пределах утвержденной сметы.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45454"/>
          <w:sz w:val="28"/>
          <w:szCs w:val="28"/>
          <w:lang w:eastAsia="ru-RU"/>
        </w:rPr>
        <w:t>2. Задачи и функции Комиссии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2.1. Основными задачами (направлениями деятельности) Комиссии являются: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организация повышения квалификации нотариусов и помощников нотариусов;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организация стажировки и дополнительного обучения лиц, претендующих на должность нотариуса;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организация обучения сотрудников нотариальных контор, обеспечивающих деятельность нотариуса;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организация и проведение семинаров по вопросам применения законодательства при совершении нотариальных действий;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проведение обобщений ошибок при совершении нотариальных действий;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разработка предложений по темам семинаров, обобщение итогов семинаров и учебы, заслушивание отчета нотариуса, прошедшего практику или закончившего курсы повышения квалификации.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2.2. Для реализации возложенных на нее задач Комиссия осуществляет следующие функции: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- готовит предложения по применению (использованию) различных форм обучающих мероприятий по повышению квалификации и обучения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noBreakHyphen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семинары, круглые столы, коллоквиумы, лекции и др., а также предложения по тематике обучающих мероприятий и организации их проведения;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осуществляет взаимодействие с научными и учебными учреждениями, органами законодательной и исполнительной власти, государственными учреждениями иных органов для привлечения научных работников, преподавателей, иных лиц к участию в мероприятиях по повышению квалификации;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разрабатывает планы и графики проведения обучающих мероприятий по повышению квалификации;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организует и проводит обучающие мероприятия по всем направлениям деятельности в соответствии с утвержденными планами и графиками;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взаимодействует с иными комиссиями Палаты по вопросам повышения квалификации, организации обучения, а также разработки рекомендаций по организации работы нотариусов и помощников нотариусов.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2.3. Комиссия и ее члены для решения возложенных на Комиссию задач вправе: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запрашивать от членов и сотрудников Палаты, органов и комиссий Палаты материалы, документы, объяснения, иную информацию, необходимую для осуществления своей деятельности и принятия решений;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приглашать на свои заседания и привлекать к работе членов других комиссий Палаты, сотрудников палаты, а также нотариусов и иных членов Палаты;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присутствовать на заседаниях Правления Палаты с правом совещательного голоса при рассмотрении вопросов, связанных с задачами, возложенными на Комиссию.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45454"/>
          <w:sz w:val="28"/>
          <w:szCs w:val="28"/>
          <w:lang w:eastAsia="ru-RU"/>
        </w:rPr>
        <w:t xml:space="preserve">3. Состав и порядок образования Комиссии </w:t>
      </w:r>
    </w:p>
    <w:p>
      <w:pPr>
        <w:spacing w:after="0"/>
        <w:jc w:val="center"/>
        <w:rPr>
          <w:rFonts w:ascii="Times New Roman" w:hAnsi="Times New Roman"/>
          <w:color w:val="545454"/>
          <w:sz w:val="28"/>
          <w:szCs w:val="28"/>
          <w:u w:val="single"/>
          <w:lang w:eastAsia="ru-RU"/>
        </w:rPr>
      </w:pPr>
    </w:p>
    <w:p>
      <w:pPr>
        <w:spacing w:after="0"/>
        <w:ind w:firstLine="708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>3.1. Состав Комиссии формируется Правлением Нотариальной палаты Республики Дагестан из числа нотариусов Республики Дагестан.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3.2. Численность Комиссии определяется Правлением и не может быть менее пяти человек.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3.3. Членом Комиссии может быть любой член Палаты. В состав Комиссии могут быть включены сотрудники аппарата Палаты.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3.4. Для осуществления координации работы членов Комиссии из числа утвержденных Правлением членов Комиссии на первом заседании простым большинством голосов избирается председатель и секретарь Комиссии.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3.5. К работе Комиссии могут привлекаться нотариусы, другие члены Палаты, не являющиеся ее постоянными членами, а также сотрудники Палаты.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3.6. Члены Комиссии могут входить в другие выборные органы Палаты.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3.7. Полномочия члена Комиссии могут быть прекращены решением Правления Палаты досрочно: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по личной просьбе члена Комиссии;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- в случае невыполнения или недобросовестного выполнения своих обязанностей.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На этом же заседании Правления должны быть проведены довыборы в состав Комиссии. Новый член Комиссии избирается на оставшийся срок полномочий Комиссии.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45454"/>
          <w:sz w:val="28"/>
          <w:szCs w:val="28"/>
          <w:lang w:eastAsia="ru-RU"/>
        </w:rPr>
        <w:t>4. Организация работы Комиссии</w:t>
      </w:r>
    </w:p>
    <w:p>
      <w:pPr>
        <w:spacing w:after="0"/>
        <w:jc w:val="center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4.1. Председатель Комиссии организует работу Комиссии в соответствии с настоящим положением, решениями Общего собрания членов Палаты, Правления и Президента Палаты.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4.2. Председатель Комиссии осуществляет общее руководство и координацию деятельности Комиссии. Председатель Комиссии созывает и проводит заседания Комиссии, председательствует на заседаниях, представляет Комиссию на заседаниях Правления Палаты и Общем собрании членов Палаты.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В случае отсутствия Председателя Комиссии, председательствующим на ее заседании избирается один из членов Комиссии.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4.3. Заседания Комиссии проводятся по мере необходимости, но не реже одного раза в квартал.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4.4. Заседания Комиссии проходят открыто. На заседаниях Комиссии с правом совещательного голоса могут присутствовать члены Правления, иных комиссий, нотариусы, иные члены Палаты, сотрудники Палаты по согласованию с Председателем Комиссии. 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4.5. Комиссия рассматривает предложения, поступившие от Общего собрания членов Палаты, Правления Палаты, Президента Палаты, нотариусов, иных членов Палаты, комиссий Палаты, а также вносит свои предложения в Правление, комиссии Палаты по вопросам, входящим в компетенцию Комиссии.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4.6. Комиссия правомочна принимать решения, если на заседании присутствует более половины ее членов. Решения принимаются простым большинством голосов от числа присутствующих членов Комиссии.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Члены Комиссии, несогласные с принятым решением, имеют право изложить в письменной форме свое особое мнение, которое должно быть направлено вместе с решением Комиссии в соответствующий орган Палаты.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4.7. Заседания Комиссии оформляются протоколами. Ведение протокола осуществляет секретарь Комиссии, протокол подписывает председатель Комиссии (председательствующий на заседании Комиссии) и секретарь.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Решения Комиссии оформляются выписками из протоколов. Решения комиссии, затрагивающие интересы всех нотариусов и иных членов Палаты представляются на утверждение Правлению Палаты.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</w:p>
    <w:p>
      <w:pPr>
        <w:spacing w:after="0"/>
        <w:jc w:val="center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45454"/>
          <w:sz w:val="28"/>
          <w:szCs w:val="28"/>
          <w:lang w:eastAsia="ru-RU"/>
        </w:rPr>
        <w:t xml:space="preserve">5. Ответственность членов Комиссии </w:t>
      </w:r>
    </w:p>
    <w:p>
      <w:pPr>
        <w:spacing w:after="0"/>
        <w:jc w:val="center"/>
        <w:rPr>
          <w:rFonts w:ascii="Times New Roman" w:hAnsi="Times New Roman"/>
          <w:color w:val="545454"/>
          <w:sz w:val="28"/>
          <w:szCs w:val="28"/>
          <w:u w:val="single"/>
          <w:lang w:eastAsia="ru-RU"/>
        </w:rPr>
      </w:pP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5.1. Члены Комиссии несут персональную ответственность за разглашение сведений носящих конфиденциальный характер или содержащих нотариальную тайну, ставших им известными при осуществлении своих полномочий, а также за недобросовестные действия и ненадлежащее исполнение своих обязанностей.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5.2. Под недобросовестными действиями члена Комиссии понимаются виновные действия, направленные на причинение вреда нотариусам, иным членам Палаты, Палате, гражданам, государственным и муниципальным органам, иным юридическим лицам, либо повлекшее за собой неблагоприятные для них последствия.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5.3. Член Комиссии может быть досрочно освобожден Правлением Палаты от осуществления полномочий в случае недобросовестных действий либо ненадлежащего исполнения им своих обязанностей.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45454"/>
          <w:sz w:val="28"/>
          <w:szCs w:val="28"/>
          <w:lang w:eastAsia="ru-RU"/>
        </w:rPr>
        <w:t>6. Ликвидация Комиссии.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6.1. Комиссии может быть ликвидирована по решению Правления. </w:t>
      </w:r>
    </w:p>
    <w:p>
      <w:pPr>
        <w:spacing w:after="0"/>
        <w:jc w:val="both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/>
    <w:sectPr>
      <w:pgSz w:w="11906" w:h="16838"/>
      <w:pgMar w:top="425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2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before="0" w:beforeAutospacing="0" w:after="200" w:afterAutospacing="0" w:line="276" w:lineRule="auto"/>
      <w:ind w:left="0" w:right="0" w:firstLine="0"/>
      <w:jc w:val="left"/>
    </w:pPr>
    <w:rPr>
      <w:rFonts w:hint="default" w:ascii="Calibri" w:hAnsi="Calibri" w:eastAsia="Calibri" w:cs="Times New Roman"/>
      <w:color w:val="auto"/>
      <w:spacing w:val="0"/>
      <w:position w:val="0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default="1" w:styleId="17">
    <w:name w:val="Default Paragraph Font"/>
    <w:unhideWhenUsed/>
    <w:uiPriority w:val="1"/>
  </w:style>
  <w:style w:type="table" w:default="1" w:styleId="2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footnote text"/>
    <w:basedOn w:val="1"/>
    <w:unhideWhenUsed/>
    <w:uiPriority w:val="99"/>
    <w:pPr>
      <w:spacing w:after="0" w:line="240" w:lineRule="auto"/>
    </w:pPr>
    <w:rPr>
      <w:sz w:val="20"/>
    </w:rPr>
  </w:style>
  <w:style w:type="paragraph" w:styleId="13">
    <w:name w:val="header"/>
    <w:basedOn w:val="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  <w:rPr>
      <w:color w:val="000000"/>
      <w:sz w:val="22"/>
    </w:rPr>
  </w:style>
  <w:style w:type="paragraph" w:styleId="14">
    <w:name w:val="Title"/>
    <w:basedOn w:val="1"/>
    <w:next w:val="1"/>
    <w:qFormat/>
    <w:uiPriority w:val="10"/>
    <w:pPr>
      <w:pBdr>
        <w:bottom w:val="single" w:color="000000" w:sz="24" w:space="0"/>
      </w:pBdr>
      <w:spacing w:before="300" w:after="80" w:line="240" w:lineRule="auto"/>
    </w:pPr>
    <w:rPr>
      <w:b/>
      <w:color w:val="000000"/>
      <w:sz w:val="72"/>
    </w:rPr>
  </w:style>
  <w:style w:type="paragraph" w:styleId="15">
    <w:name w:val="footer"/>
    <w:basedOn w:val="1"/>
    <w:unhideWhenUsed/>
    <w:uiPriority w:val="99"/>
    <w:pPr>
      <w:tabs>
        <w:tab w:val="center" w:pos="7143"/>
        <w:tab w:val="right" w:pos="14287"/>
      </w:tabs>
      <w:spacing w:after="0" w:line="240" w:lineRule="auto"/>
    </w:pPr>
    <w:rPr>
      <w:color w:val="000000"/>
      <w:sz w:val="22"/>
    </w:rPr>
  </w:style>
  <w:style w:type="paragraph" w:styleId="16">
    <w:name w:val="Subtitle"/>
    <w:basedOn w:val="1"/>
    <w:next w:val="1"/>
    <w:qFormat/>
    <w:uiPriority w:val="11"/>
    <w:pPr>
      <w:spacing w:line="240" w:lineRule="auto"/>
    </w:pPr>
    <w:rPr>
      <w:i/>
      <w:color w:val="444444"/>
      <w:sz w:val="52"/>
    </w:rPr>
  </w:style>
  <w:style w:type="character" w:styleId="18">
    <w:name w:val="footnote reference"/>
    <w:basedOn w:val="17"/>
    <w:unhideWhenUsed/>
    <w:uiPriority w:val="99"/>
    <w:rPr>
      <w:vertAlign w:val="superscript"/>
    </w:rPr>
  </w:style>
  <w:style w:type="character" w:styleId="19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1">
    <w:name w:val="Table Grid"/>
    <w:basedOn w:val="20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List Paragraph"/>
    <w:basedOn w:val="1"/>
    <w:qFormat/>
    <w:uiPriority w:val="34"/>
    <w:pPr>
      <w:ind w:left="720"/>
      <w:contextualSpacing/>
    </w:pPr>
  </w:style>
  <w:style w:type="paragraph" w:customStyle="1" w:styleId="23">
    <w:name w:val="No Spacing"/>
    <w:basedOn w:val="1"/>
    <w:qFormat/>
    <w:uiPriority w:val="1"/>
    <w:pPr>
      <w:spacing w:after="0" w:line="240" w:lineRule="auto"/>
    </w:pPr>
    <w:rPr>
      <w:color w:val="000000"/>
    </w:rPr>
  </w:style>
  <w:style w:type="paragraph" w:customStyle="1" w:styleId="24">
    <w:name w:val="Quote"/>
    <w:basedOn w:val="1"/>
    <w:next w:val="1"/>
    <w:qFormat/>
    <w:uiPriority w:val="29"/>
    <w:pPr>
      <w:pBdr>
        <w:left w:val="single" w:color="A6A6A6" w:sz="12" w:space="11"/>
        <w:bottom w:val="single" w:color="A6A6A6" w:sz="12" w:space="3"/>
      </w:pBdr>
      <w:ind w:left="3402"/>
    </w:pPr>
    <w:rPr>
      <w:i/>
      <w:color w:val="373737"/>
      <w:sz w:val="18"/>
    </w:rPr>
  </w:style>
  <w:style w:type="paragraph" w:customStyle="1" w:styleId="25">
    <w:name w:val="Intense Quote"/>
    <w:basedOn w:val="1"/>
    <w:next w:val="1"/>
    <w:qFormat/>
    <w:uiPriority w:val="30"/>
    <w:pPr>
      <w:pBdr>
        <w:top w:val="single" w:color="808080" w:sz="4" w:space="3"/>
        <w:left w:val="single" w:color="808080" w:sz="4" w:space="11"/>
        <w:bottom w:val="single" w:color="808080" w:sz="4" w:space="3"/>
        <w:right w:val="single" w:color="808080" w:sz="4" w:space="11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26">
    <w:name w:val="Lined"/>
    <w:basedOn w:val="20"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27">
    <w:name w:val="Lined - Accent 1"/>
    <w:basedOn w:val="20"/>
    <w:qFormat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28">
    <w:name w:val="Lined - Accent 2"/>
    <w:basedOn w:val="20"/>
    <w:qFormat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29">
    <w:name w:val="Lined - Accent 3"/>
    <w:basedOn w:val="20"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30">
    <w:name w:val="Lined - Accent 4"/>
    <w:basedOn w:val="20"/>
    <w:qFormat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31">
    <w:name w:val="Lined - Accent 5"/>
    <w:basedOn w:val="20"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32">
    <w:name w:val="Lined - Accent 6"/>
    <w:basedOn w:val="20"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table" w:customStyle="1" w:styleId="33">
    <w:name w:val="Bordered"/>
    <w:basedOn w:val="20"/>
    <w:uiPriority w:val="99"/>
    <w:pPr>
      <w:spacing w:after="0" w:line="240" w:lineRule="auto"/>
    </w:pPr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34">
    <w:name w:val="Bordered - Accent 1"/>
    <w:basedOn w:val="20"/>
    <w:uiPriority w:val="99"/>
    <w:pPr>
      <w:spacing w:after="0" w:line="240" w:lineRule="auto"/>
    </w:pPr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35">
    <w:name w:val="Bordered - Accent 2"/>
    <w:basedOn w:val="20"/>
    <w:uiPriority w:val="99"/>
    <w:pPr>
      <w:spacing w:after="0" w:line="240" w:lineRule="auto"/>
    </w:pPr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36">
    <w:name w:val="Bordered - Accent 3"/>
    <w:basedOn w:val="20"/>
    <w:uiPriority w:val="99"/>
    <w:pPr>
      <w:spacing w:after="0" w:line="240" w:lineRule="auto"/>
    </w:pPr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37">
    <w:name w:val="Bordered - Accent 4"/>
    <w:basedOn w:val="20"/>
    <w:uiPriority w:val="99"/>
    <w:pPr>
      <w:spacing w:after="0" w:line="240" w:lineRule="auto"/>
    </w:pPr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38">
    <w:name w:val="Bordered - Accent 5"/>
    <w:basedOn w:val="20"/>
    <w:uiPriority w:val="99"/>
    <w:pPr>
      <w:spacing w:after="0" w:line="240" w:lineRule="auto"/>
    </w:pPr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39">
    <w:name w:val="Bordered - Accent 6"/>
    <w:basedOn w:val="20"/>
    <w:uiPriority w:val="99"/>
    <w:pPr>
      <w:spacing w:after="0" w:line="240" w:lineRule="auto"/>
    </w:p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40">
    <w:name w:val="Bordered &amp; Lined"/>
    <w:basedOn w:val="20"/>
    <w:uiPriority w:val="99"/>
    <w:pPr>
      <w:spacing w:after="0" w:line="240" w:lineRule="auto"/>
    </w:pPr>
    <w:rPr>
      <w:color w:val="40404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41">
    <w:name w:val="Bordered &amp; Lined - Accent 1"/>
    <w:basedOn w:val="20"/>
    <w:uiPriority w:val="99"/>
    <w:pPr>
      <w:spacing w:after="0" w:line="240" w:lineRule="auto"/>
    </w:pPr>
    <w:rPr>
      <w:color w:val="404040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42">
    <w:name w:val="Bordered &amp; Lined - Accent 2"/>
    <w:basedOn w:val="20"/>
    <w:uiPriority w:val="99"/>
    <w:pPr>
      <w:spacing w:after="0" w:line="240" w:lineRule="auto"/>
    </w:pPr>
    <w:rPr>
      <w:color w:val="404040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43">
    <w:name w:val="Bordered &amp; Lined - Accent 3"/>
    <w:basedOn w:val="20"/>
    <w:uiPriority w:val="99"/>
    <w:pPr>
      <w:spacing w:after="0" w:line="240" w:lineRule="auto"/>
    </w:pPr>
    <w:rPr>
      <w:color w:val="404040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44">
    <w:name w:val="Bordered &amp; Lined - Accent 4"/>
    <w:basedOn w:val="20"/>
    <w:uiPriority w:val="99"/>
    <w:pPr>
      <w:spacing w:after="0" w:line="240" w:lineRule="auto"/>
    </w:pPr>
    <w:rPr>
      <w:color w:val="404040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45">
    <w:name w:val="Bordered &amp; Lined - Accent 5"/>
    <w:basedOn w:val="20"/>
    <w:qFormat/>
    <w:uiPriority w:val="99"/>
    <w:pPr>
      <w:spacing w:after="0" w:line="240" w:lineRule="auto"/>
    </w:pPr>
    <w:rPr>
      <w:color w:val="404040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46">
    <w:name w:val="Bordered &amp; Lined - Accent 6"/>
    <w:basedOn w:val="20"/>
    <w:qFormat/>
    <w:uiPriority w:val="99"/>
    <w:pPr>
      <w:spacing w:after="0" w:line="240" w:lineRule="auto"/>
    </w:pPr>
    <w:rPr>
      <w:color w:val="404040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character" w:customStyle="1" w:styleId="47">
    <w:name w:val="Footnote Text Char"/>
    <w:basedOn w:val="17"/>
    <w:semiHidden/>
    <w:uiPriority w:val="99"/>
    <w:rPr>
      <w:sz w:val="20"/>
    </w:rPr>
  </w:style>
  <w:style w:type="character" w:customStyle="1" w:styleId="48">
    <w:name w:val="Текст выноски Знак"/>
    <w:basedOn w:val="17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2018-03-16T13:10:52Z</dcterms:created>
  <dc:creator>hp</dc:creator>
  <cp:lastModifiedBy>hp</cp:lastModifiedBy>
  <dcterms:modified xsi:type="dcterms:W3CDTF">2018-03-16T13:12:20Z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